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504874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-439420</wp:posOffset>
            </wp:positionV>
            <wp:extent cx="3943350" cy="3943350"/>
            <wp:effectExtent l="0" t="0" r="0" b="0"/>
            <wp:wrapNone/>
            <wp:docPr id="1" name="图片 0" descr="稿定设计导出-20190924-92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4-9255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>C</w:t>
      </w:r>
      <w:r>
        <w:rPr>
          <w:rFonts w:asciiTheme="minorEastAsia" w:hAnsiTheme="minorEastAsia" w:hint="eastAsia"/>
          <w:b/>
          <w:sz w:val="36"/>
          <w:szCs w:val="28"/>
        </w:rPr>
        <w:t>MA</w:t>
      </w:r>
      <w:r w:rsidR="00CE75CC">
        <w:rPr>
          <w:rFonts w:asciiTheme="minorEastAsia" w:hAnsiTheme="minorEastAsia" w:hint="eastAsia"/>
          <w:b/>
          <w:sz w:val="36"/>
          <w:szCs w:val="28"/>
        </w:rPr>
        <w:t>1</w:t>
      </w:r>
      <w:r w:rsidR="00CE75CC">
        <w:rPr>
          <w:rFonts w:asciiTheme="minorEastAsia" w:hAnsiTheme="minorEastAsia"/>
          <w:b/>
          <w:sz w:val="36"/>
          <w:szCs w:val="28"/>
        </w:rPr>
        <w:t>0-</w:t>
      </w:r>
      <w:r w:rsidR="00CE75CC">
        <w:rPr>
          <w:rFonts w:asciiTheme="minorEastAsia" w:hAnsiTheme="minorEastAsia" w:hint="eastAsia"/>
          <w:b/>
          <w:sz w:val="36"/>
          <w:szCs w:val="28"/>
        </w:rPr>
        <w:t>10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4B34D4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4B34D4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4B34D4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4B34D4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4B34D4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4B34D4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4B34D4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4B34D4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4B34D4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4B34D4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4B34D4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727BFC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CMA10</w:t>
            </w:r>
            <w:r w:rsidR="00E651AF">
              <w:rPr>
                <w:rFonts w:hint="eastAsia"/>
              </w:rPr>
              <w:t>/220S05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AC/DC</w:t>
            </w:r>
            <w:r>
              <w:rPr>
                <w:rFonts w:hint="eastAsia"/>
              </w:rPr>
              <w:t>高频电源模块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0.06A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DC5V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55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45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20.5</w:t>
            </w:r>
            <w:r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4B34D4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1B29D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3104515" cy="3924300"/>
            <wp:effectExtent l="19050" t="0" r="635" b="0"/>
            <wp:wrapNone/>
            <wp:docPr id="10" name="图片 4" descr="AC-DC10W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-DC10W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tbl>
      <w:tblPr>
        <w:tblpPr w:leftFromText="180" w:rightFromText="180" w:vertAnchor="text" w:horzAnchor="margin" w:tblpX="5175" w:tblpY="1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92"/>
        <w:gridCol w:w="1094"/>
        <w:gridCol w:w="1123"/>
        <w:gridCol w:w="1195"/>
        <w:gridCol w:w="1196"/>
      </w:tblGrid>
      <w:tr w:rsidR="00E651AF" w:rsidTr="00203019">
        <w:trPr>
          <w:trHeight w:val="420"/>
        </w:trPr>
        <w:tc>
          <w:tcPr>
            <w:tcW w:w="5400" w:type="dxa"/>
            <w:gridSpan w:val="5"/>
            <w:shd w:val="clear" w:color="auto" w:fill="D2D7F2"/>
            <w:vAlign w:val="center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引脚功能</w:t>
            </w:r>
          </w:p>
        </w:tc>
      </w:tr>
      <w:tr w:rsidR="00E651AF" w:rsidTr="00203019">
        <w:trPr>
          <w:trHeight w:val="264"/>
        </w:trPr>
        <w:tc>
          <w:tcPr>
            <w:tcW w:w="792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1094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123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双路</w:t>
            </w:r>
          </w:p>
        </w:tc>
        <w:tc>
          <w:tcPr>
            <w:tcW w:w="1195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双路隔离</w:t>
            </w:r>
          </w:p>
        </w:tc>
        <w:tc>
          <w:tcPr>
            <w:tcW w:w="1196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三路</w:t>
            </w:r>
          </w:p>
        </w:tc>
      </w:tr>
      <w:tr w:rsidR="00E651AF" w:rsidTr="00203019">
        <w:trPr>
          <w:trHeight w:val="264"/>
        </w:trPr>
        <w:tc>
          <w:tcPr>
            <w:tcW w:w="792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4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123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195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196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</w:tr>
      <w:tr w:rsidR="00E651AF" w:rsidTr="00203019">
        <w:trPr>
          <w:trHeight w:val="264"/>
        </w:trPr>
        <w:tc>
          <w:tcPr>
            <w:tcW w:w="792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 xml:space="preserve">2    </w:t>
            </w:r>
          </w:p>
        </w:tc>
        <w:tc>
          <w:tcPr>
            <w:tcW w:w="1094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23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95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96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E651AF" w:rsidTr="00203019">
        <w:trPr>
          <w:trHeight w:val="264"/>
        </w:trPr>
        <w:tc>
          <w:tcPr>
            <w:tcW w:w="792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94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23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95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96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E651AF" w:rsidTr="00203019">
        <w:trPr>
          <w:trHeight w:val="264"/>
        </w:trPr>
        <w:tc>
          <w:tcPr>
            <w:tcW w:w="792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94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123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VO2</w:t>
            </w:r>
          </w:p>
        </w:tc>
        <w:tc>
          <w:tcPr>
            <w:tcW w:w="1195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-VO1</w:t>
            </w:r>
          </w:p>
        </w:tc>
        <w:tc>
          <w:tcPr>
            <w:tcW w:w="1196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E651AF" w:rsidTr="00203019">
        <w:trPr>
          <w:trHeight w:val="265"/>
        </w:trPr>
        <w:tc>
          <w:tcPr>
            <w:tcW w:w="792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94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23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95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+VO1</w:t>
            </w:r>
          </w:p>
        </w:tc>
        <w:tc>
          <w:tcPr>
            <w:tcW w:w="1196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VO1</w:t>
            </w:r>
          </w:p>
        </w:tc>
      </w:tr>
      <w:tr w:rsidR="00E651AF" w:rsidTr="00203019">
        <w:trPr>
          <w:trHeight w:val="265"/>
        </w:trPr>
        <w:tc>
          <w:tcPr>
            <w:tcW w:w="792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94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23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195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96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VO3</w:t>
            </w:r>
          </w:p>
        </w:tc>
      </w:tr>
      <w:tr w:rsidR="00E651AF" w:rsidTr="00203019">
        <w:trPr>
          <w:trHeight w:val="265"/>
        </w:trPr>
        <w:tc>
          <w:tcPr>
            <w:tcW w:w="792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94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23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95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-VO2</w:t>
            </w:r>
          </w:p>
        </w:tc>
        <w:tc>
          <w:tcPr>
            <w:tcW w:w="1196" w:type="dxa"/>
            <w:shd w:val="clear" w:color="auto" w:fill="D2D7F2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</w:t>
            </w:r>
          </w:p>
        </w:tc>
      </w:tr>
      <w:tr w:rsidR="00E651AF" w:rsidTr="00203019">
        <w:trPr>
          <w:trHeight w:val="274"/>
        </w:trPr>
        <w:tc>
          <w:tcPr>
            <w:tcW w:w="792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94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VO1</w:t>
            </w:r>
          </w:p>
        </w:tc>
        <w:tc>
          <w:tcPr>
            <w:tcW w:w="1123" w:type="dxa"/>
          </w:tcPr>
          <w:p w:rsidR="00E651AF" w:rsidRDefault="00E651AF" w:rsidP="00E651AF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VO1</w:t>
            </w:r>
          </w:p>
        </w:tc>
        <w:tc>
          <w:tcPr>
            <w:tcW w:w="1195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+VO2</w:t>
            </w:r>
          </w:p>
        </w:tc>
        <w:tc>
          <w:tcPr>
            <w:tcW w:w="1196" w:type="dxa"/>
          </w:tcPr>
          <w:p w:rsidR="00E651AF" w:rsidRDefault="00E651AF" w:rsidP="00E65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VO2</w:t>
            </w:r>
          </w:p>
        </w:tc>
      </w:tr>
    </w:tbl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E651AF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286BE8" w:rsidRDefault="00286BE8" w:rsidP="0074731B">
      <w:pPr>
        <w:tabs>
          <w:tab w:val="left" w:pos="6675"/>
        </w:tabs>
        <w:rPr>
          <w:rFonts w:hint="eastAsia"/>
        </w:rPr>
      </w:pP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4B34D4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E651AF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型号选型表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 </w:t>
      </w:r>
    </w:p>
    <w:p w:rsidR="00C92997" w:rsidRDefault="00C92997">
      <w:pPr>
        <w:rPr>
          <w:rFonts w:hint="eastAsia"/>
        </w:rPr>
      </w:pPr>
    </w:p>
    <w:tbl>
      <w:tblPr>
        <w:tblW w:w="11475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530"/>
        <w:gridCol w:w="795"/>
        <w:gridCol w:w="750"/>
        <w:gridCol w:w="750"/>
        <w:gridCol w:w="825"/>
        <w:gridCol w:w="750"/>
        <w:gridCol w:w="750"/>
        <w:gridCol w:w="885"/>
        <w:gridCol w:w="795"/>
        <w:gridCol w:w="750"/>
        <w:gridCol w:w="1095"/>
      </w:tblGrid>
      <w:tr w:rsidR="006C3170" w:rsidTr="006024B5">
        <w:trPr>
          <w:jc w:val="center"/>
        </w:trPr>
        <w:tc>
          <w:tcPr>
            <w:tcW w:w="1800" w:type="dxa"/>
            <w:vMerge w:val="restart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产品型号</w:t>
            </w:r>
          </w:p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CM</w:t>
            </w:r>
            <w:r w:rsidRPr="006C3170">
              <w:rPr>
                <w:rFonts w:ascii="宋体" w:hAnsi="宋体" w:cs="宋体" w:hint="eastAsia"/>
              </w:rPr>
              <w:t>A10</w:t>
            </w:r>
            <w:r w:rsidRPr="006C3170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530" w:type="dxa"/>
            <w:vMerge w:val="restart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095" w:type="dxa"/>
            <w:vMerge w:val="restart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典型效率</w:t>
            </w:r>
          </w:p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6C3170" w:rsidTr="006024B5">
        <w:trPr>
          <w:jc w:val="center"/>
        </w:trPr>
        <w:tc>
          <w:tcPr>
            <w:tcW w:w="1800" w:type="dxa"/>
            <w:vMerge/>
            <w:shd w:val="clear" w:color="auto" w:fill="0000FF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530" w:type="dxa"/>
            <w:vMerge/>
            <w:shd w:val="clear" w:color="auto" w:fill="0000FF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795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750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750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Vout</w:t>
            </w:r>
            <w:r w:rsidRPr="006C317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825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750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750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Lout</w:t>
            </w:r>
            <w:r w:rsidRPr="006C317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885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795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750" w:type="dxa"/>
            <w:shd w:val="clear" w:color="auto" w:fill="D2D7F2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 w:rsidRPr="006C3170">
              <w:rPr>
                <w:rFonts w:ascii="宋体" w:eastAsia="宋体" w:hAnsi="宋体" w:cs="宋体" w:hint="eastAsia"/>
              </w:rPr>
              <w:t>Out</w:t>
            </w:r>
            <w:r w:rsidRPr="006C317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095" w:type="dxa"/>
            <w:vMerge/>
            <w:shd w:val="clear" w:color="auto" w:fill="0000FF"/>
          </w:tcPr>
          <w:p w:rsidR="006C3170" w:rsidRP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S12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350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220D2424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-24.2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05A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12A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63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12A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24A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58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24A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+24.2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78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220D1515A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47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220D1524A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+24.2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3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82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1100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88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95" w:type="dxa"/>
            <w:shd w:val="clear" w:color="auto" w:fill="D2D7F2"/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6C3170" w:rsidTr="006024B5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A10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250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6C3170" w:rsidRDefault="006C317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1B29DC" w:rsidTr="006024B5">
        <w:trPr>
          <w:trHeight w:val="390"/>
          <w:jc w:val="center"/>
        </w:trPr>
        <w:tc>
          <w:tcPr>
            <w:tcW w:w="1800" w:type="dxa"/>
            <w:shd w:val="clear" w:color="auto" w:fill="D2D7F2"/>
          </w:tcPr>
          <w:p w:rsidR="001B29DC" w:rsidRDefault="001B29DC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9675" w:type="dxa"/>
            <w:gridSpan w:val="11"/>
            <w:shd w:val="clear" w:color="auto" w:fill="D2D7F2"/>
          </w:tcPr>
          <w:p w:rsidR="001B29DC" w:rsidRPr="001B29DC" w:rsidRDefault="001B29DC" w:rsidP="00B84B50">
            <w:pPr>
              <w:rPr>
                <w:rFonts w:ascii="宋体" w:eastAsia="宋体" w:hAnsi="宋体" w:cs="宋体"/>
              </w:rPr>
            </w:pPr>
            <w:r w:rsidRPr="00833F31">
              <w:rPr>
                <w:rFonts w:ascii="宋体" w:hAnsi="宋体" w:cs="宋体" w:hint="eastAsia"/>
              </w:rPr>
              <w:t>62</w:t>
            </w:r>
            <w:r w:rsidRPr="00833F31">
              <w:rPr>
                <w:rFonts w:ascii="宋体" w:eastAsia="宋体" w:hAnsi="宋体" w:cs="宋体" w:hint="eastAsia"/>
              </w:rPr>
              <w:t>*</w:t>
            </w:r>
            <w:r w:rsidRPr="00833F31">
              <w:rPr>
                <w:rFonts w:ascii="宋体" w:hAnsi="宋体" w:cs="宋体" w:hint="eastAsia"/>
              </w:rPr>
              <w:t>45</w:t>
            </w:r>
            <w:r w:rsidRPr="00833F31">
              <w:rPr>
                <w:rFonts w:ascii="宋体" w:eastAsia="宋体" w:hAnsi="宋体" w:cs="宋体" w:hint="eastAsia"/>
              </w:rPr>
              <w:t>*</w:t>
            </w:r>
            <w:r w:rsidRPr="00833F31">
              <w:rPr>
                <w:rFonts w:ascii="宋体" w:hAnsi="宋体" w:cs="宋体" w:hint="eastAsia"/>
              </w:rPr>
              <w:t>22</w:t>
            </w:r>
            <w:r w:rsidRPr="00833F31">
              <w:rPr>
                <w:rFonts w:ascii="宋体" w:eastAsia="宋体" w:hAnsi="宋体" w:cs="宋体" w:hint="eastAsia"/>
              </w:rPr>
              <w:t>.5MM</w:t>
            </w:r>
          </w:p>
        </w:tc>
      </w:tr>
      <w:tr w:rsidR="006C3170" w:rsidTr="006024B5">
        <w:trPr>
          <w:trHeight w:val="225"/>
          <w:jc w:val="center"/>
        </w:trPr>
        <w:tc>
          <w:tcPr>
            <w:tcW w:w="11475" w:type="dxa"/>
            <w:gridSpan w:val="12"/>
          </w:tcPr>
          <w:p w:rsidR="006C3170" w:rsidRDefault="001B29DC" w:rsidP="001B29DC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特殊参数可以定制不收开发费用</w:t>
            </w:r>
          </w:p>
        </w:tc>
      </w:tr>
    </w:tbl>
    <w:p w:rsidR="006C3170" w:rsidRDefault="006C3170">
      <w:pPr>
        <w:rPr>
          <w:rFonts w:hint="eastAsia"/>
        </w:rPr>
      </w:pPr>
    </w:p>
    <w:p w:rsidR="00C92997" w:rsidRDefault="004B34D4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05" w:rsidRDefault="002E6F05" w:rsidP="00DF1E2A">
      <w:pPr>
        <w:rPr>
          <w:rFonts w:hint="eastAsia"/>
        </w:rPr>
      </w:pPr>
      <w:r>
        <w:separator/>
      </w:r>
    </w:p>
  </w:endnote>
  <w:endnote w:type="continuationSeparator" w:id="0">
    <w:p w:rsidR="002E6F05" w:rsidRDefault="002E6F05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05" w:rsidRDefault="002E6F05" w:rsidP="00DF1E2A">
      <w:pPr>
        <w:rPr>
          <w:rFonts w:hint="eastAsia"/>
        </w:rPr>
      </w:pPr>
      <w:r>
        <w:separator/>
      </w:r>
    </w:p>
  </w:footnote>
  <w:footnote w:type="continuationSeparator" w:id="0">
    <w:p w:rsidR="002E6F05" w:rsidRDefault="002E6F05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874">
      <w:rPr>
        <w:rFonts w:ascii="黑体" w:eastAsia="黑体" w:hAnsiTheme="majorEastAsia" w:hint="eastAsia"/>
        <w:b/>
        <w:sz w:val="36"/>
      </w:rPr>
      <w:t>A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504874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CMA</w:t>
    </w:r>
    <w:r w:rsidR="006024B5">
      <w:rPr>
        <w:rFonts w:ascii="黑体" w:eastAsia="黑体" w:hAnsiTheme="majorEastAsia" w:hint="eastAsia"/>
        <w:b/>
        <w:sz w:val="32"/>
      </w:rPr>
      <w:t>10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E6F05"/>
    <w:rsid w:val="002F57C3"/>
    <w:rsid w:val="00323714"/>
    <w:rsid w:val="00333D53"/>
    <w:rsid w:val="00386DBB"/>
    <w:rsid w:val="003D06A1"/>
    <w:rsid w:val="00415EFA"/>
    <w:rsid w:val="00487781"/>
    <w:rsid w:val="00494095"/>
    <w:rsid w:val="004A23E4"/>
    <w:rsid w:val="004B34D4"/>
    <w:rsid w:val="00504874"/>
    <w:rsid w:val="00524F23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27BFC"/>
    <w:rsid w:val="0074731B"/>
    <w:rsid w:val="00780ADB"/>
    <w:rsid w:val="0078205B"/>
    <w:rsid w:val="00823894"/>
    <w:rsid w:val="008D4A57"/>
    <w:rsid w:val="0091758E"/>
    <w:rsid w:val="0092386F"/>
    <w:rsid w:val="00A14D96"/>
    <w:rsid w:val="00A65BED"/>
    <w:rsid w:val="00AA052E"/>
    <w:rsid w:val="00B87461"/>
    <w:rsid w:val="00BA53E1"/>
    <w:rsid w:val="00C14A73"/>
    <w:rsid w:val="00C32EDE"/>
    <w:rsid w:val="00C70E9E"/>
    <w:rsid w:val="00C92997"/>
    <w:rsid w:val="00CE5DED"/>
    <w:rsid w:val="00CE75CC"/>
    <w:rsid w:val="00D23CFE"/>
    <w:rsid w:val="00D3245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5FBA14-8ACC-4A3B-9538-BA629D39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2019-09-24T02:39:00Z</cp:lastPrinted>
  <dcterms:created xsi:type="dcterms:W3CDTF">2019-09-24T02:40:00Z</dcterms:created>
  <dcterms:modified xsi:type="dcterms:W3CDTF">2020-05-14T01:43:00Z</dcterms:modified>
</cp:coreProperties>
</file>